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footnotes.xml" ContentType="application/vnd.openxmlformats-officedocument.wordprocessingml.footnotes+xml"/>
  <Override PartName="/word/header1.xml" ContentType="application/vnd.openxmlformats-officedocument.wordprocessingml.header+xml"/>
  <Override PartName="/customXml/itemProps1.xml" ContentType="application/vnd.openxmlformats-officedocument.customXmlProperties+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after="0" w:lineRule="auto" w:line="480"/>
        <w:jc w:val="center"/>
        <w:rPr>
          <w:rFonts w:ascii="Times New Roman" w:cs="Times New Roman" w:hAnsi="Times New Roman"/>
          <w:b/>
          <w:bCs/>
          <w:sz w:val="24"/>
          <w:szCs w:val="24"/>
        </w:rPr>
      </w:pPr>
      <w:r>
        <w:rPr>
          <w:rFonts w:ascii="Times New Roman" w:cs="Times New Roman" w:hAnsi="Times New Roman"/>
          <w:b/>
          <w:bCs/>
          <w:sz w:val="24"/>
          <w:szCs w:val="24"/>
        </w:rPr>
        <w:t xml:space="preserve">EM515 FINAL PROJECT </w:t>
      </w:r>
    </w:p>
    <w:p>
      <w:pPr>
        <w:pStyle w:val="style0"/>
        <w:spacing w:after="0" w:lineRule="auto" w:line="480"/>
        <w:jc w:val="center"/>
        <w:rPr>
          <w:rFonts w:ascii="Times New Roman" w:cs="Times New Roman" w:hAnsi="Times New Roman"/>
          <w:b/>
          <w:bCs/>
          <w:sz w:val="24"/>
          <w:szCs w:val="24"/>
        </w:rPr>
      </w:pPr>
      <w:r>
        <w:rPr>
          <w:rFonts w:ascii="Times New Roman" w:cs="Times New Roman" w:hAnsi="Times New Roman"/>
          <w:b/>
          <w:bCs/>
          <w:sz w:val="24"/>
          <w:szCs w:val="24"/>
        </w:rPr>
        <w:t>MEMORANDUM</w:t>
      </w:r>
    </w:p>
    <w:p>
      <w:pPr>
        <w:pStyle w:val="style0"/>
        <w:spacing w:after="0" w:lineRule="auto" w:line="480"/>
        <w:rPr>
          <w:rFonts w:ascii="Times New Roman" w:cs="Times New Roman" w:hAnsi="Times New Roman"/>
          <w:sz w:val="24"/>
          <w:szCs w:val="24"/>
        </w:rPr>
      </w:pPr>
      <w:r>
        <w:rPr>
          <w:rFonts w:ascii="Times New Roman" w:cs="Times New Roman" w:hAnsi="Times New Roman"/>
          <w:sz w:val="24"/>
          <w:szCs w:val="24"/>
        </w:rPr>
        <w:t>TO:  Washington, D.C. Mayor</w:t>
      </w:r>
    </w:p>
    <w:p>
      <w:pPr>
        <w:pStyle w:val="style0"/>
        <w:spacing w:after="0" w:lineRule="auto" w:line="480"/>
        <w:rPr>
          <w:rFonts w:ascii="Times New Roman" w:cs="Times New Roman" w:hAnsi="Times New Roman"/>
          <w:sz w:val="24"/>
          <w:szCs w:val="24"/>
        </w:rPr>
      </w:pPr>
      <w:r>
        <w:rPr>
          <w:rFonts w:ascii="Times New Roman" w:cs="Times New Roman" w:hAnsi="Times New Roman"/>
          <w:sz w:val="24"/>
          <w:szCs w:val="24"/>
        </w:rPr>
        <w:t xml:space="preserve">FROM: </w:t>
      </w:r>
      <w:r>
        <w:rPr>
          <w:rFonts w:ascii="Times New Roman" w:cs="Times New Roman" w:hAnsi="Times New Roman"/>
          <w:sz w:val="24"/>
          <w:szCs w:val="24"/>
          <w:highlight w:val="yellow"/>
        </w:rPr>
        <w:t>Your</w:t>
      </w:r>
      <w:r>
        <w:rPr>
          <w:rFonts w:ascii="Times New Roman" w:cs="Times New Roman" w:hAnsi="Times New Roman"/>
          <w:sz w:val="24"/>
          <w:szCs w:val="24"/>
          <w:highlight w:val="yellow"/>
        </w:rPr>
        <w:t xml:space="preserve"> Name</w:t>
      </w:r>
    </w:p>
    <w:p>
      <w:pPr>
        <w:pStyle w:val="style0"/>
        <w:spacing w:after="0" w:lineRule="auto" w:line="480"/>
        <w:rPr>
          <w:rFonts w:ascii="Times New Roman" w:cs="Times New Roman" w:hAnsi="Times New Roman"/>
          <w:sz w:val="24"/>
          <w:szCs w:val="24"/>
        </w:rPr>
      </w:pPr>
      <w:r>
        <w:rPr>
          <w:rFonts w:ascii="Times New Roman" w:cs="Times New Roman" w:hAnsi="Times New Roman"/>
          <w:sz w:val="24"/>
          <w:szCs w:val="24"/>
        </w:rPr>
        <w:t>DATE: April 19, 2020</w:t>
      </w:r>
    </w:p>
    <w:p>
      <w:pPr>
        <w:pStyle w:val="style0"/>
        <w:spacing w:after="0" w:lineRule="auto" w:line="480"/>
        <w:rPr>
          <w:rFonts w:ascii="Times New Roman" w:cs="Times New Roman" w:hAnsi="Times New Roman"/>
          <w:sz w:val="24"/>
          <w:szCs w:val="24"/>
        </w:rPr>
      </w:pPr>
      <w:r>
        <w:rPr>
          <w:rFonts w:ascii="Times New Roman" w:cs="Times New Roman" w:hAnsi="Times New Roman"/>
          <w:sz w:val="24"/>
          <w:szCs w:val="24"/>
        </w:rPr>
        <w:t>RE: Dirty Bomb Explosion in Washington, D.C.</w:t>
      </w:r>
    </w:p>
    <w:p>
      <w:pPr>
        <w:pStyle w:val="style0"/>
        <w:spacing w:after="0" w:lineRule="auto" w:line="480"/>
        <w:jc w:val="center"/>
        <w:rPr>
          <w:rFonts w:ascii="Times New Roman" w:cs="Times New Roman" w:hAnsi="Times New Roman"/>
          <w:b/>
          <w:bCs/>
          <w:sz w:val="24"/>
          <w:szCs w:val="24"/>
          <w:u w:val="single"/>
        </w:rPr>
      </w:pPr>
      <w:r>
        <w:rPr>
          <w:rFonts w:ascii="Times New Roman" w:cs="Times New Roman" w:hAnsi="Times New Roman"/>
          <w:b/>
          <w:bCs/>
          <w:noProof/>
          <w:sz w:val="24"/>
          <w:szCs w:val="24"/>
          <w:u w:val="single"/>
          <w:lang w:val="en-GB" w:eastAsia="en-GB"/>
        </w:rPr>
        <mc:AlternateContent>
          <mc:Choice Requires="wps">
            <w:drawing>
              <wp:anchor distT="0" distB="0" distL="114300" distR="114300" simplePos="false" relativeHeight="2" behindDoc="true" locked="false" layoutInCell="true" allowOverlap="true">
                <wp:simplePos x="0" y="0"/>
                <wp:positionH relativeFrom="column">
                  <wp:posOffset>9525</wp:posOffset>
                </wp:positionH>
                <wp:positionV relativeFrom="paragraph">
                  <wp:posOffset>24130</wp:posOffset>
                </wp:positionV>
                <wp:extent cx="6029325" cy="0"/>
                <wp:effectExtent l="0" t="0" r="0" b="0"/>
                <wp:wrapTight wrapText="bothSides">
                  <wp:wrapPolygon edited="false">
                    <wp:start x="0" y="0"/>
                    <wp:lineTo x="0" y="21600"/>
                    <wp:lineTo x="21600" y="21600"/>
                    <wp:lineTo x="21600" y="0"/>
                  </wp:wrapPolygon>
                </wp:wrapTight>
                <wp:docPr id="1026" name="Straight Connector 1"/>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6029325" cy="0"/>
                        </a:xfrm>
                        <a:prstGeom prst="line"/>
                        <a:ln cmpd="sng" cap="flat" w="6350">
                          <a:solidFill>
                            <a:srgbClr val="4472c4"/>
                          </a:solidFill>
                          <a:prstDash val="solid"/>
                          <a:miter/>
                          <a:headEnd/>
                          <a:tailEnd/>
                        </a:ln>
                      </wps:spPr>
                      <wps:bodyPr>
                        <a:prstTxWarp prst="textNoShape"/>
                      </wps:bodyPr>
                    </wps:wsp>
                  </a:graphicData>
                </a:graphic>
              </wp:anchor>
            </w:drawing>
          </mc:Choice>
          <mc:Fallback>
            <w:pict>
              <v:line id="1026" filled="f" stroked="t" from="0.75pt,1.9pt" to="475.5pt,1.9pt" style="position:absolute;z-index:-2147483645;mso-position-horizontal-relative:text;mso-position-vertical-relative:text;mso-width-relative:page;mso-height-relative:page;visibility:visible;">
                <v:stroke joinstyle="miter" color="#4472c4" weight="0.5pt"/>
                <w10:wrap type="tight"/>
                <v:fill/>
              </v:line>
            </w:pict>
          </mc:Fallback>
        </mc:AlternateContent>
      </w:r>
      <w:r>
        <w:rPr>
          <w:rFonts w:ascii="Times New Roman" w:cs="Times New Roman" w:hAnsi="Times New Roman"/>
          <w:b/>
          <w:bCs/>
          <w:sz w:val="24"/>
          <w:szCs w:val="24"/>
          <w:u w:val="single"/>
        </w:rPr>
        <w:t>SUMMARY</w:t>
      </w:r>
    </w:p>
    <w:p>
      <w:pPr>
        <w:pStyle w:val="style94"/>
        <w:spacing w:before="0" w:beforeAutospacing="false" w:after="0" w:afterAutospacing="false" w:lineRule="auto" w:line="480"/>
        <w:ind w:firstLine="720"/>
        <w:rPr>
          <w:color w:val="0e101a"/>
        </w:rPr>
      </w:pPr>
      <w:r>
        <w:rPr>
          <w:color w:val="0e101a"/>
        </w:rPr>
        <w:t xml:space="preserve">It was a lovely Wednesday in spring when a dirty bomb went off in Washington D.C. </w:t>
      </w:r>
      <w:r>
        <w:rPr>
          <w:color w:val="0e101a"/>
        </w:rPr>
        <w:t>Washington</w:t>
      </w:r>
      <w:r>
        <w:rPr>
          <w:color w:val="0e101a"/>
        </w:rPr>
        <w:t xml:space="preserve"> D.C is always busy with activities ranging from the court proceedings in the courts to the business activities in the capital area. However, this day was different because hundreds of school children were in the capital on their scheduled class trips. The bomb went off at 12.45 PM from one of the school buses parked just outside the Capital Hill building near the National Gallery Art. The explosion devastated the events in the capital with the protocols for protecting the top political leaders, and the judiciary officials took </w:t>
      </w:r>
      <w:r>
        <w:rPr>
          <w:color w:val="0e101a"/>
        </w:rPr>
        <w:t>center</w:t>
      </w:r>
      <w:r>
        <w:rPr>
          <w:color w:val="0e101a"/>
        </w:rPr>
        <w:t xml:space="preserve"> stage of the events right after the bomb went off. The response team from the local and federal law enforcement agencies arrived at the scene after the explosion to try to help the survivors as well as determine the situation on the ground. Even though the responders were instructed to put on protective gear like hazmat at the scene, there was insufficient equipment. This resulted in some of the responders turning back due to the danger they were exposed to. </w:t>
      </w:r>
    </w:p>
    <w:p>
      <w:pPr>
        <w:pStyle w:val="style94"/>
        <w:spacing w:before="0" w:beforeAutospacing="false" w:after="0" w:afterAutospacing="false" w:lineRule="auto" w:line="480"/>
        <w:jc w:val="center"/>
        <w:rPr>
          <w:color w:val="0e101a"/>
        </w:rPr>
      </w:pPr>
      <w:r>
        <w:rPr>
          <w:rStyle w:val="style87"/>
          <w:color w:val="0e101a"/>
          <w:u w:val="single"/>
        </w:rPr>
        <w:t>BACKGROUND</w:t>
      </w:r>
    </w:p>
    <w:p>
      <w:pPr>
        <w:pStyle w:val="style94"/>
        <w:spacing w:before="0" w:beforeAutospacing="false" w:after="0" w:afterAutospacing="false" w:lineRule="auto" w:line="480"/>
        <w:ind w:firstLine="720"/>
        <w:rPr>
          <w:color w:val="0e101a"/>
        </w:rPr>
      </w:pPr>
      <w:r>
        <w:rPr>
          <w:color w:val="0e101a"/>
        </w:rPr>
        <w:t xml:space="preserve">A dirty bomb is one of the explosive devices that require a coordinated and tactical response approach. A dirty bomb is considered to be less harmful or dangerous from the other radiological dispersion bombs like nuclear bombs. However, since it is a radiological dispersion </w:t>
      </w:r>
      <w:r>
        <w:rPr>
          <w:color w:val="0e101a"/>
        </w:rPr>
        <w:t xml:space="preserve">component, it is considered to be very sophisticated because it combines the radioactive materials together with the </w:t>
      </w:r>
      <w:r>
        <w:rPr>
          <w:color w:val="0e101a"/>
        </w:rPr>
        <w:t>conventional explosives</w:t>
      </w:r>
      <w:r>
        <w:rPr>
          <w:color w:val="0e101a"/>
        </w:rPr>
        <w:t>.</w:t>
      </w:r>
      <w:r>
        <w:rPr>
          <w:rStyle w:val="style38"/>
          <w:color w:val="0e101a"/>
        </w:rPr>
        <w:footnoteReference w:id="1"/>
      </w:r>
      <w:r>
        <w:rPr>
          <w:color w:val="0e101a"/>
        </w:rPr>
        <w:t xml:space="preserve"> However, despite that, the level of threat of this kind of bomb cannot be compared to nuclear bombs does not make it ineffective. As the case on Washington’s bombing depicts, the damage can be serious and extensive to the extent that no one can comprehend. Therefore, it requires the same caution and precautionary planning and response approach that any disaster would need. However, the response approaches will differ with greater bombs like nuclear because a dirty bomb like the one that went off in Washington would affect the immediate vi</w:t>
      </w:r>
      <w:r>
        <w:rPr>
          <w:color w:val="0e101a"/>
        </w:rPr>
        <w:t>cinity of the explosion</w:t>
      </w:r>
      <w:r>
        <w:rPr>
          <w:color w:val="0e101a"/>
        </w:rPr>
        <w:t>.</w:t>
      </w:r>
      <w:r>
        <w:rPr>
          <w:rStyle w:val="style38"/>
          <w:color w:val="0e101a"/>
        </w:rPr>
        <w:footnoteReference w:id="2"/>
      </w:r>
      <w:r>
        <w:rPr>
          <w:color w:val="0e101a"/>
        </w:rPr>
        <w:t xml:space="preserve"> Compared with the true nuclear bomb, which involves nuclear fission when the bomb goes off, a dirty bomb does not involve nuclear fission. This is what makes it less dangerous and harmful from true nuclear weapons. </w:t>
      </w:r>
    </w:p>
    <w:p>
      <w:pPr>
        <w:pStyle w:val="style94"/>
        <w:spacing w:before="0" w:beforeAutospacing="false" w:after="0" w:afterAutospacing="false" w:lineRule="auto" w:line="480"/>
        <w:ind w:firstLine="720"/>
        <w:rPr>
          <w:color w:val="0e101a"/>
        </w:rPr>
      </w:pPr>
      <w:r>
        <w:rPr>
          <w:color w:val="0e101a"/>
        </w:rPr>
        <w:t xml:space="preserve">The response in Washington’s case shows how serious a bomb threat can be, and with great attention, it may require to respond and coordinate the after explosion events. The impacts even of a dirty bomb like this could be devastating not only to the people within the vicinity of the explosion but even to the people far end. The case shows how the explosion resulted in panic across the capital even in far blocks where they only heard the blast. One can only imagine what the people in the vicinity of the explosion may have experienced. Therefore, response to such kind of situation may need a coordinated approach and inter-agency approach to ensure that all the available resources are assembled to the rescue of the survivors as well as control of panic that maybe another dangerous post-explosion incident. The local government is tasked with the coordination and </w:t>
      </w:r>
      <w:r>
        <w:rPr>
          <w:color w:val="0e101a"/>
        </w:rPr>
        <w:t>channelling</w:t>
      </w:r>
      <w:r>
        <w:rPr>
          <w:color w:val="0e101a"/>
        </w:rPr>
        <w:t xml:space="preserve"> of the required resources to control the situation. As the office of </w:t>
      </w:r>
      <w:r>
        <w:rPr>
          <w:color w:val="0e101a"/>
        </w:rPr>
        <w:t>the mayor, it is their key responsibility to coordinate the intelligence, assessment of the situation, and conduct appropriate response procedures through the assistance of the other agencies. </w:t>
      </w:r>
      <w:r>
        <w:rPr>
          <w:bCs/>
        </w:rPr>
        <w:t xml:space="preserve"> </w:t>
      </w:r>
    </w:p>
    <w:p>
      <w:pPr>
        <w:pStyle w:val="style0"/>
        <w:spacing w:after="0" w:lineRule="auto" w:line="480"/>
        <w:jc w:val="center"/>
        <w:rPr>
          <w:rFonts w:ascii="Times New Roman" w:cs="Times New Roman" w:hAnsi="Times New Roman"/>
          <w:b/>
          <w:bCs/>
          <w:sz w:val="24"/>
          <w:szCs w:val="24"/>
          <w:u w:val="single"/>
        </w:rPr>
      </w:pPr>
      <w:r>
        <w:rPr>
          <w:rFonts w:ascii="Times New Roman" w:cs="Times New Roman" w:hAnsi="Times New Roman"/>
          <w:b/>
          <w:bCs/>
          <w:sz w:val="24"/>
          <w:szCs w:val="24"/>
          <w:u w:val="single"/>
        </w:rPr>
        <w:t>ANALYSIS</w:t>
      </w:r>
    </w:p>
    <w:p>
      <w:pPr>
        <w:pStyle w:val="style0"/>
        <w:spacing w:after="0" w:lineRule="auto" w:line="480"/>
        <w:ind w:firstLine="720"/>
        <w:rPr>
          <w:rFonts w:ascii="Times New Roman" w:cs="Times New Roman" w:eastAsia="Times New Roman" w:hAnsi="Times New Roman"/>
          <w:color w:val="0e101a"/>
          <w:sz w:val="24"/>
          <w:szCs w:val="24"/>
          <w:lang w:val="en-GB" w:eastAsia="en-GB"/>
        </w:rPr>
      </w:pPr>
      <w:r>
        <w:rPr>
          <w:rFonts w:ascii="Times New Roman" w:cs="Times New Roman" w:eastAsia="Times New Roman" w:hAnsi="Times New Roman"/>
          <w:color w:val="0e101a"/>
          <w:sz w:val="24"/>
          <w:szCs w:val="24"/>
          <w:lang w:val="en-GB" w:eastAsia="en-GB"/>
        </w:rPr>
        <w:t>As discussed in the previous section, the city mayor’s office has a great responsibility to help in a situation like this. The following provides an analysis of the possible Mayor’s office response to the situation within the provided legal frameworks. </w:t>
      </w:r>
    </w:p>
    <w:p>
      <w:pPr>
        <w:pStyle w:val="style0"/>
        <w:spacing w:after="0" w:lineRule="auto" w:line="480"/>
        <w:rPr>
          <w:rFonts w:ascii="Times New Roman" w:cs="Times New Roman" w:eastAsia="Times New Roman" w:hAnsi="Times New Roman"/>
          <w:b/>
          <w:color w:val="0e101a"/>
          <w:sz w:val="24"/>
          <w:szCs w:val="24"/>
          <w:lang w:val="en-GB" w:eastAsia="en-GB"/>
        </w:rPr>
      </w:pPr>
      <w:r>
        <w:rPr>
          <w:rFonts w:ascii="Times New Roman" w:cs="Times New Roman" w:eastAsia="Times New Roman" w:hAnsi="Times New Roman"/>
          <w:b/>
          <w:color w:val="0e101a"/>
          <w:sz w:val="24"/>
          <w:szCs w:val="24"/>
          <w:lang w:val="en-GB" w:eastAsia="en-GB"/>
        </w:rPr>
        <w:t>Important Goals to be Achieved Now </w:t>
      </w:r>
    </w:p>
    <w:p>
      <w:pPr>
        <w:pStyle w:val="style0"/>
        <w:spacing w:after="0" w:lineRule="auto" w:line="480"/>
        <w:ind w:firstLine="360"/>
        <w:rPr>
          <w:rFonts w:ascii="Times New Roman" w:cs="Times New Roman" w:eastAsia="Times New Roman" w:hAnsi="Times New Roman"/>
          <w:color w:val="0e101a"/>
          <w:sz w:val="24"/>
          <w:szCs w:val="24"/>
          <w:lang w:val="en-GB" w:eastAsia="en-GB"/>
        </w:rPr>
      </w:pPr>
      <w:r>
        <w:rPr>
          <w:rFonts w:ascii="Times New Roman" w:cs="Times New Roman" w:eastAsia="Times New Roman" w:hAnsi="Times New Roman"/>
          <w:color w:val="0e101a"/>
          <w:sz w:val="24"/>
          <w:szCs w:val="24"/>
          <w:lang w:val="en-GB" w:eastAsia="en-GB"/>
        </w:rPr>
        <w:t>After the immediate explosion, the response should aim at solving short-term goals like saving the lives of those that have survived and evacuating those who have not been injured but may be affected by the explosion. Therefore, the Mayor’s office should act within its jurisdiction and establish an inter-agency system that can provide an analysis basis for the emergency response and critical incident response in the city. This should be based on the following goals; </w:t>
      </w:r>
    </w:p>
    <w:p>
      <w:pPr>
        <w:pStyle w:val="style0"/>
        <w:numPr>
          <w:ilvl w:val="0"/>
          <w:numId w:val="1"/>
        </w:numPr>
        <w:spacing w:after="0" w:lineRule="auto" w:line="480"/>
        <w:rPr>
          <w:rFonts w:ascii="Times New Roman" w:cs="Times New Roman" w:eastAsia="Times New Roman" w:hAnsi="Times New Roman"/>
          <w:color w:val="0e101a"/>
          <w:sz w:val="24"/>
          <w:szCs w:val="24"/>
          <w:lang w:val="en-GB" w:eastAsia="en-GB"/>
        </w:rPr>
      </w:pPr>
      <w:r>
        <w:rPr>
          <w:rFonts w:ascii="Times New Roman" w:cs="Times New Roman" w:eastAsia="Times New Roman" w:hAnsi="Times New Roman"/>
          <w:color w:val="0e101a"/>
          <w:sz w:val="24"/>
          <w:szCs w:val="24"/>
          <w:lang w:val="en-GB" w:eastAsia="en-GB"/>
        </w:rPr>
        <w:t>To create operational response strategies</w:t>
      </w:r>
    </w:p>
    <w:p>
      <w:pPr>
        <w:pStyle w:val="style0"/>
        <w:numPr>
          <w:ilvl w:val="0"/>
          <w:numId w:val="1"/>
        </w:numPr>
        <w:spacing w:after="0" w:lineRule="auto" w:line="480"/>
        <w:rPr>
          <w:rFonts w:ascii="Times New Roman" w:cs="Times New Roman" w:eastAsia="Times New Roman" w:hAnsi="Times New Roman"/>
          <w:color w:val="0e101a"/>
          <w:sz w:val="24"/>
          <w:szCs w:val="24"/>
          <w:lang w:val="en-GB" w:eastAsia="en-GB"/>
        </w:rPr>
      </w:pPr>
      <w:r>
        <w:rPr>
          <w:rFonts w:ascii="Times New Roman" w:cs="Times New Roman" w:eastAsia="Times New Roman" w:hAnsi="Times New Roman"/>
          <w:color w:val="0e101a"/>
          <w:sz w:val="24"/>
          <w:szCs w:val="24"/>
          <w:lang w:val="en-GB" w:eastAsia="en-GB"/>
        </w:rPr>
        <w:t>To establish agreed command, control, and coordination system</w:t>
      </w:r>
    </w:p>
    <w:p>
      <w:pPr>
        <w:pStyle w:val="style0"/>
        <w:spacing w:after="0" w:lineRule="auto" w:line="480"/>
        <w:ind w:firstLine="360"/>
        <w:rPr>
          <w:rFonts w:ascii="Times New Roman" w:cs="Times New Roman" w:eastAsia="Times New Roman" w:hAnsi="Times New Roman"/>
          <w:color w:val="0e101a"/>
          <w:sz w:val="24"/>
          <w:szCs w:val="24"/>
          <w:lang w:val="en-GB" w:eastAsia="en-GB"/>
        </w:rPr>
      </w:pPr>
      <w:r>
        <w:rPr>
          <w:rFonts w:ascii="Times New Roman" w:cs="Times New Roman" w:eastAsia="Times New Roman" w:hAnsi="Times New Roman"/>
          <w:color w:val="0e101a"/>
          <w:sz w:val="24"/>
          <w:szCs w:val="24"/>
          <w:lang w:val="en-GB" w:eastAsia="en-GB"/>
        </w:rPr>
        <w:t xml:space="preserve">Each of these goals can provide the Mayor’s office with the opportunity to help rescue the survivors as well as increase resources towards helping those that have been victimized to recover. As explained in the case, there were no bomb threats as everything was going on as usual in the capital area. The courts were in session as usual, and the students were going about their scheduled class trips in the capital. This means that there was no threat. However, when there is no threat, it means that the law enforcement agencies and the concerned city leadership have no information about the size or the extent of damage that the bomb may cause. As such, uncoordinated response may not work in </w:t>
      </w:r>
      <w:r>
        <w:rPr>
          <w:rFonts w:ascii="Times New Roman" w:cs="Times New Roman" w:eastAsia="Times New Roman" w:hAnsi="Times New Roman"/>
          <w:color w:val="0e101a"/>
          <w:sz w:val="24"/>
          <w:szCs w:val="24"/>
          <w:lang w:val="en-GB" w:eastAsia="en-GB"/>
        </w:rPr>
        <w:t>favor</w:t>
      </w:r>
      <w:r>
        <w:rPr>
          <w:rFonts w:ascii="Times New Roman" w:cs="Times New Roman" w:eastAsia="Times New Roman" w:hAnsi="Times New Roman"/>
          <w:color w:val="0e101a"/>
          <w:sz w:val="24"/>
          <w:szCs w:val="24"/>
          <w:lang w:val="en-GB" w:eastAsia="en-GB"/>
        </w:rPr>
        <w:t xml:space="preserve"> of the city leadership because there may be more than one bomb in the area. Therefore, establishing the above two main goals would be the first </w:t>
      </w:r>
      <w:r>
        <w:rPr>
          <w:rFonts w:ascii="Times New Roman" w:cs="Times New Roman" w:eastAsia="Times New Roman" w:hAnsi="Times New Roman"/>
          <w:color w:val="0e101a"/>
          <w:sz w:val="24"/>
          <w:szCs w:val="24"/>
          <w:lang w:val="en-GB" w:eastAsia="en-GB"/>
        </w:rPr>
        <w:t>step towards responding to the situation immediately after the bomb explodes. Creating an operation response strategy in the first goal will ensure that there is enough information to guide the response departments. The second goal will ensure that more lives that may have been exposed to risks are saved in a coordinated manner. Therefore, the most important thing to achieve now would be to save as many lives as possible and also establish the level of threat of the bomb, which can only be established through the two goals mentioned above. </w:t>
      </w:r>
    </w:p>
    <w:p>
      <w:pPr>
        <w:pStyle w:val="style0"/>
        <w:spacing w:after="0" w:lineRule="auto" w:line="480"/>
        <w:rPr>
          <w:rFonts w:ascii="Times New Roman" w:cs="Times New Roman" w:eastAsia="Times New Roman" w:hAnsi="Times New Roman"/>
          <w:b/>
          <w:color w:val="0e101a"/>
          <w:sz w:val="24"/>
          <w:szCs w:val="24"/>
          <w:lang w:val="en-GB" w:eastAsia="en-GB"/>
        </w:rPr>
      </w:pPr>
      <w:r>
        <w:rPr>
          <w:rFonts w:ascii="Times New Roman" w:cs="Times New Roman" w:eastAsia="Times New Roman" w:hAnsi="Times New Roman"/>
          <w:b/>
          <w:color w:val="0e101a"/>
          <w:sz w:val="24"/>
          <w:szCs w:val="24"/>
          <w:lang w:val="en-GB" w:eastAsia="en-GB"/>
        </w:rPr>
        <w:t>Kinds of Further action involved in State of Emergency Declaration </w:t>
      </w:r>
    </w:p>
    <w:p>
      <w:pPr>
        <w:pStyle w:val="style0"/>
        <w:spacing w:after="0" w:lineRule="auto" w:line="480"/>
        <w:ind w:firstLine="720"/>
        <w:rPr>
          <w:rFonts w:ascii="Times New Roman" w:cs="Times New Roman" w:eastAsia="Times New Roman" w:hAnsi="Times New Roman"/>
          <w:color w:val="0e101a"/>
          <w:sz w:val="24"/>
          <w:szCs w:val="24"/>
          <w:lang w:val="en-GB" w:eastAsia="en-GB"/>
        </w:rPr>
      </w:pPr>
      <w:r>
        <w:rPr>
          <w:rFonts w:ascii="Times New Roman" w:cs="Times New Roman" w:eastAsia="Times New Roman" w:hAnsi="Times New Roman"/>
          <w:color w:val="0e101a"/>
          <w:sz w:val="24"/>
          <w:szCs w:val="24"/>
          <w:lang w:val="en-GB" w:eastAsia="en-GB"/>
        </w:rPr>
        <w:t>The Mayor is allowed during the crisis and disasters like this to declare a state of emergency in the city. Under the Municipal Code under Council and Legislation Title 02, chapter 4 of the Civil Emergencies and Section 4 gives the Mayor the power to authorize emergency orders in the city if the situation is bad. There are various kinds of actions that such declaration can create. For instance, upon declaration of the state of emergency, the Mayor has the power to:</w:t>
      </w:r>
    </w:p>
    <w:p>
      <w:pPr>
        <w:pStyle w:val="style0"/>
        <w:spacing w:after="0" w:lineRule="auto" w:line="480"/>
        <w:rPr>
          <w:rFonts w:ascii="Times New Roman" w:cs="Times New Roman" w:eastAsia="Times New Roman" w:hAnsi="Times New Roman"/>
          <w:color w:val="0e101a"/>
          <w:sz w:val="24"/>
          <w:szCs w:val="24"/>
          <w:lang w:val="en-GB" w:eastAsia="en-GB"/>
        </w:rPr>
      </w:pPr>
      <w:r>
        <w:rPr>
          <w:rFonts w:ascii="Times New Roman" w:cs="Times New Roman" w:eastAsia="Times New Roman" w:hAnsi="Times New Roman"/>
          <w:color w:val="0e101a"/>
          <w:sz w:val="24"/>
          <w:szCs w:val="24"/>
          <w:lang w:val="en-GB" w:eastAsia="en-GB"/>
        </w:rPr>
        <w:t>-Declare a general curfew</w:t>
      </w:r>
    </w:p>
    <w:p>
      <w:pPr>
        <w:pStyle w:val="style0"/>
        <w:spacing w:after="0" w:lineRule="auto" w:line="480"/>
        <w:rPr>
          <w:rFonts w:ascii="Times New Roman" w:cs="Times New Roman" w:eastAsia="Times New Roman" w:hAnsi="Times New Roman"/>
          <w:color w:val="0e101a"/>
          <w:sz w:val="24"/>
          <w:szCs w:val="24"/>
          <w:lang w:val="en-GB" w:eastAsia="en-GB"/>
        </w:rPr>
      </w:pPr>
      <w:r>
        <w:rPr>
          <w:rFonts w:ascii="Times New Roman" w:cs="Times New Roman" w:eastAsia="Times New Roman" w:hAnsi="Times New Roman"/>
          <w:color w:val="0e101a"/>
          <w:sz w:val="24"/>
          <w:szCs w:val="24"/>
          <w:lang w:val="en-GB" w:eastAsia="en-GB"/>
        </w:rPr>
        <w:t>-Order the businesses to close down</w:t>
      </w:r>
    </w:p>
    <w:p>
      <w:pPr>
        <w:pStyle w:val="style0"/>
        <w:spacing w:after="0" w:lineRule="auto" w:line="480"/>
        <w:rPr>
          <w:rFonts w:ascii="Times New Roman" w:cs="Times New Roman" w:eastAsia="Times New Roman" w:hAnsi="Times New Roman"/>
          <w:color w:val="0e101a"/>
          <w:sz w:val="24"/>
          <w:szCs w:val="24"/>
          <w:lang w:val="en-GB" w:eastAsia="en-GB"/>
        </w:rPr>
      </w:pPr>
      <w:r>
        <w:rPr>
          <w:rFonts w:ascii="Times New Roman" w:cs="Times New Roman" w:eastAsia="Times New Roman" w:hAnsi="Times New Roman"/>
          <w:color w:val="0e101a"/>
          <w:sz w:val="24"/>
          <w:szCs w:val="24"/>
          <w:lang w:val="en-GB" w:eastAsia="en-GB"/>
        </w:rPr>
        <w:t>-Close down the public places such as schools, parks, and public buildings</w:t>
      </w:r>
    </w:p>
    <w:p>
      <w:pPr>
        <w:pStyle w:val="style0"/>
        <w:spacing w:after="0" w:lineRule="auto" w:line="480"/>
        <w:rPr>
          <w:rFonts w:ascii="Times New Roman" w:cs="Times New Roman" w:eastAsia="Times New Roman" w:hAnsi="Times New Roman"/>
          <w:color w:val="0e101a"/>
          <w:sz w:val="24"/>
          <w:szCs w:val="24"/>
          <w:lang w:val="en-GB" w:eastAsia="en-GB"/>
        </w:rPr>
      </w:pPr>
      <w:r>
        <w:rPr>
          <w:rFonts w:ascii="Times New Roman" w:cs="Times New Roman" w:eastAsia="Times New Roman" w:hAnsi="Times New Roman"/>
          <w:color w:val="0e101a"/>
          <w:sz w:val="24"/>
          <w:szCs w:val="24"/>
          <w:lang w:val="en-GB" w:eastAsia="en-GB"/>
        </w:rPr>
        <w:t>-Order evacuation some parts of the city that may be under threat when the disaster’s threat is imminent to the lives and properties of the city residences.</w:t>
      </w:r>
    </w:p>
    <w:p>
      <w:pPr>
        <w:pStyle w:val="style0"/>
        <w:spacing w:after="0" w:lineRule="auto" w:line="480"/>
        <w:rPr>
          <w:rFonts w:ascii="Times New Roman" w:cs="Times New Roman" w:eastAsia="Times New Roman" w:hAnsi="Times New Roman"/>
          <w:color w:val="0e101a"/>
          <w:sz w:val="24"/>
          <w:szCs w:val="24"/>
          <w:lang w:val="en-GB" w:eastAsia="en-GB"/>
        </w:rPr>
      </w:pPr>
      <w:r>
        <w:rPr>
          <w:rFonts w:ascii="Times New Roman" w:cs="Times New Roman" w:eastAsia="Times New Roman" w:hAnsi="Times New Roman"/>
          <w:color w:val="0e101a"/>
          <w:sz w:val="24"/>
          <w:szCs w:val="24"/>
          <w:lang w:val="en-GB" w:eastAsia="en-GB"/>
        </w:rPr>
        <w:t>-Order establishment of economic controls in aid of and consistent with the federal orders in regards to price regulation </w:t>
      </w:r>
    </w:p>
    <w:p>
      <w:pPr>
        <w:pStyle w:val="style0"/>
        <w:spacing w:after="0" w:lineRule="auto" w:line="480"/>
        <w:rPr>
          <w:rFonts w:ascii="Times New Roman" w:cs="Times New Roman" w:eastAsia="Times New Roman" w:hAnsi="Times New Roman"/>
          <w:color w:val="0e101a"/>
          <w:sz w:val="24"/>
          <w:szCs w:val="24"/>
          <w:lang w:val="en-GB" w:eastAsia="en-GB"/>
        </w:rPr>
      </w:pPr>
      <w:r>
        <w:rPr>
          <w:rFonts w:ascii="Times New Roman" w:cs="Times New Roman" w:eastAsia="Times New Roman" w:hAnsi="Times New Roman"/>
          <w:color w:val="0e101a"/>
          <w:sz w:val="24"/>
          <w:szCs w:val="24"/>
          <w:lang w:val="en-GB" w:eastAsia="en-GB"/>
        </w:rPr>
        <w:t>-Direct the use of all public and private health facilities to aid in the provision of emergency for victims of the bomb. </w:t>
      </w:r>
    </w:p>
    <w:p>
      <w:pPr>
        <w:pStyle w:val="style0"/>
        <w:spacing w:after="0" w:lineRule="auto" w:line="480"/>
        <w:ind w:firstLine="720"/>
        <w:rPr>
          <w:rFonts w:ascii="Times New Roman" w:cs="Times New Roman" w:eastAsia="Times New Roman" w:hAnsi="Times New Roman"/>
          <w:color w:val="0e101a"/>
          <w:sz w:val="24"/>
          <w:szCs w:val="24"/>
          <w:lang w:val="en-GB" w:eastAsia="en-GB"/>
        </w:rPr>
      </w:pPr>
      <w:r>
        <w:rPr>
          <w:rFonts w:ascii="Times New Roman" w:cs="Times New Roman" w:eastAsia="Times New Roman" w:hAnsi="Times New Roman"/>
          <w:color w:val="0e101a"/>
          <w:sz w:val="24"/>
          <w:szCs w:val="24"/>
          <w:lang w:val="en-GB" w:eastAsia="en-GB"/>
        </w:rPr>
        <w:t>Under these orders, the Mayor’s role is important in responding to emergencies like bomb explosions like the case of Washington. Therefore, this would explain why the secret officials came for the officials, including the Mayor, to evacuate them to a safer place because they are required to coordinate and see the response to the disasters through. Furthermore, people look up to their leaders to provide them with solutions whenever they are in trouble, like in the case of Washington when the bomb went off. Parents are worried about their school-going children who may be caught in the capital with the lockdown, and the Mayor’s office should establish strategies to ensure that everyone is safe and the rest of the population in the city feels that they are protected together with their properties. </w:t>
      </w:r>
    </w:p>
    <w:p>
      <w:pPr>
        <w:pStyle w:val="style0"/>
        <w:spacing w:after="0" w:lineRule="auto" w:line="480"/>
        <w:ind w:firstLine="720"/>
        <w:rPr>
          <w:rFonts w:ascii="Times New Roman" w:cs="Times New Roman" w:eastAsia="Times New Roman" w:hAnsi="Times New Roman"/>
          <w:color w:val="0e101a"/>
          <w:sz w:val="24"/>
          <w:szCs w:val="24"/>
          <w:lang w:val="en-GB" w:eastAsia="en-GB"/>
        </w:rPr>
      </w:pPr>
      <w:r>
        <w:rPr>
          <w:rFonts w:ascii="Times New Roman" w:cs="Times New Roman" w:eastAsia="Times New Roman" w:hAnsi="Times New Roman"/>
          <w:color w:val="0e101a"/>
          <w:sz w:val="24"/>
          <w:szCs w:val="24"/>
          <w:lang w:val="en-GB" w:eastAsia="en-GB"/>
        </w:rPr>
        <w:t xml:space="preserve">When the bomb went off, no one seemed prepared because everyone thought things are normal, as usual. However, one cannot compare the situation before the bomb went off and after. The response must change, and things must be done in response to the situation that exists now. However, the city leadership is expected to be leading in front of saving lives and taking any necessary measures that may help save lives and properties of the city dwellers. Therefore, the orders under section four of the Municipal Code allow the Mayor to practice the leadership competence by involving every strategy that needs to be taken to ensure that the people of Washington are not only safe, but their properties are also protected. This may include closing down the schools immediately to ensure that the children are safe in their homes. Imposing curfews can be another good alternative, especially when there is no sufficient information about the extent of the threat that the bomb poses to the city. Until the law enforcement can establish the source of the bomb and the motive behind the explosion, it would be inappropriate to assume that after the immediate response at the explosion ground that everything would be back to normal. As part of the immediate response to the situation, the Mayor can order the health </w:t>
      </w:r>
      <w:r>
        <w:rPr>
          <w:rFonts w:ascii="Times New Roman" w:cs="Times New Roman" w:eastAsia="Times New Roman" w:hAnsi="Times New Roman"/>
          <w:color w:val="0e101a"/>
          <w:sz w:val="24"/>
          <w:szCs w:val="24"/>
          <w:lang w:val="en-GB" w:eastAsia="en-GB"/>
        </w:rPr>
        <w:t>facilities, both private and public, to help in responding to the victims. As explained in the case, after the bomb went off, the carnage is instant, and the explosion left a trail of distraction behind with bodies and body parts scattered around the detonation point (323). </w:t>
      </w:r>
    </w:p>
    <w:p>
      <w:pPr>
        <w:pStyle w:val="style0"/>
        <w:spacing w:after="0" w:lineRule="auto" w:line="480"/>
        <w:rPr>
          <w:rFonts w:ascii="Times New Roman" w:cs="Times New Roman" w:eastAsia="Times New Roman" w:hAnsi="Times New Roman"/>
          <w:b/>
          <w:color w:val="0e101a"/>
          <w:sz w:val="24"/>
          <w:szCs w:val="24"/>
          <w:lang w:val="en-GB" w:eastAsia="en-GB"/>
        </w:rPr>
      </w:pPr>
      <w:r>
        <w:rPr>
          <w:rFonts w:ascii="Times New Roman" w:cs="Times New Roman" w:eastAsia="Times New Roman" w:hAnsi="Times New Roman"/>
          <w:b/>
          <w:color w:val="0e101a"/>
          <w:sz w:val="24"/>
          <w:szCs w:val="24"/>
          <w:lang w:val="en-GB" w:eastAsia="en-GB"/>
        </w:rPr>
        <w:t>Other Actions that the Mayor should take </w:t>
      </w:r>
    </w:p>
    <w:p>
      <w:pPr>
        <w:pStyle w:val="style0"/>
        <w:spacing w:after="0" w:lineRule="auto" w:line="480"/>
        <w:rPr>
          <w:rFonts w:ascii="Times New Roman" w:cs="Times New Roman" w:eastAsia="Times New Roman" w:hAnsi="Times New Roman"/>
          <w:color w:val="0e101a"/>
          <w:sz w:val="24"/>
          <w:szCs w:val="24"/>
          <w:lang w:val="en-GB" w:eastAsia="en-GB"/>
        </w:rPr>
      </w:pPr>
      <w:r>
        <w:rPr>
          <w:rFonts w:ascii="Times New Roman" w:cs="Times New Roman" w:eastAsia="Times New Roman" w:hAnsi="Times New Roman"/>
          <w:color w:val="0e101a"/>
          <w:sz w:val="24"/>
          <w:szCs w:val="24"/>
          <w:lang w:val="en-GB" w:eastAsia="en-GB"/>
        </w:rPr>
        <w:t>The Mayor would also take other measures to help bring calm in the city through:</w:t>
      </w:r>
    </w:p>
    <w:p>
      <w:pPr>
        <w:pStyle w:val="style0"/>
        <w:spacing w:after="0" w:lineRule="auto" w:line="480"/>
        <w:rPr>
          <w:rFonts w:ascii="Times New Roman" w:cs="Times New Roman" w:eastAsia="Times New Roman" w:hAnsi="Times New Roman"/>
          <w:color w:val="0e101a"/>
          <w:sz w:val="24"/>
          <w:szCs w:val="24"/>
          <w:lang w:val="en-GB" w:eastAsia="en-GB"/>
        </w:rPr>
      </w:pPr>
      <w:r>
        <w:rPr>
          <w:rFonts w:ascii="Times New Roman" w:cs="Times New Roman" w:eastAsia="Times New Roman" w:hAnsi="Times New Roman"/>
          <w:color w:val="0e101a"/>
          <w:sz w:val="24"/>
          <w:szCs w:val="24"/>
          <w:lang w:val="en-GB" w:eastAsia="en-GB"/>
        </w:rPr>
        <w:t>1. Activating EMAC</w:t>
      </w:r>
    </w:p>
    <w:p>
      <w:pPr>
        <w:pStyle w:val="style0"/>
        <w:spacing w:after="0" w:lineRule="auto" w:line="480"/>
        <w:ind w:firstLine="720"/>
        <w:rPr>
          <w:rFonts w:ascii="Times New Roman" w:cs="Times New Roman" w:eastAsia="Times New Roman" w:hAnsi="Times New Roman"/>
          <w:color w:val="0e101a"/>
          <w:sz w:val="24"/>
          <w:szCs w:val="24"/>
          <w:lang w:val="en-GB" w:eastAsia="en-GB"/>
        </w:rPr>
      </w:pPr>
      <w:r>
        <w:rPr>
          <w:rFonts w:ascii="Times New Roman" w:cs="Times New Roman" w:eastAsia="Times New Roman" w:hAnsi="Times New Roman"/>
          <w:color w:val="0e101a"/>
          <w:sz w:val="24"/>
          <w:szCs w:val="24"/>
          <w:lang w:val="en-GB" w:eastAsia="en-GB"/>
        </w:rPr>
        <w:t xml:space="preserve">Emergency Management Assistance Compact (EMAC) is a mutual aid agreement among the jurisdictions. The extent of damage caused by the bomb has not been detailed in the case study, but this course of action would only be necessary if the situation is dire and serious that the available resources in Washington may not contain. This agreement can be within its </w:t>
      </w:r>
      <w:r>
        <w:rPr>
          <w:rFonts w:ascii="Times New Roman" w:cs="Times New Roman" w:eastAsia="Times New Roman" w:hAnsi="Times New Roman"/>
          <w:color w:val="0e101a"/>
          <w:sz w:val="24"/>
          <w:szCs w:val="24"/>
          <w:lang w:val="en-GB" w:eastAsia="en-GB"/>
        </w:rPr>
        <w:t>neighboring</w:t>
      </w:r>
      <w:r>
        <w:rPr>
          <w:rFonts w:ascii="Times New Roman" w:cs="Times New Roman" w:eastAsia="Times New Roman" w:hAnsi="Times New Roman"/>
          <w:color w:val="0e101a"/>
          <w:sz w:val="24"/>
          <w:szCs w:val="24"/>
          <w:lang w:val="en-GB" w:eastAsia="en-GB"/>
        </w:rPr>
        <w:t xml:space="preserve"> municipalities in Washington that can help in the coordination of resources and response aid. Through EMAC, the Mayor can request and deploy resources that are deemed to be made at the discretion of the affected area. Before looking for support from the other available means like the Federal government, the Mayor can first exhaust the locally available resources, which can be coordinated and deployed in the affected areas faster and efficiently. Bomb explosion requires a fast and immediate response approach. Still, since no one can predict such disasters, it would be impossible to assume that there are already allocated resources to deal with the situation. Therefore, activating EMAC would ensure that the Mayor’s office can mobilize the required resources within the shortest time possible to respond to the disasters. </w:t>
      </w:r>
    </w:p>
    <w:p>
      <w:pPr>
        <w:pStyle w:val="style0"/>
        <w:spacing w:after="0" w:lineRule="auto" w:line="480"/>
        <w:ind w:firstLine="720"/>
        <w:rPr>
          <w:rFonts w:ascii="Times New Roman" w:cs="Times New Roman" w:eastAsia="Times New Roman" w:hAnsi="Times New Roman"/>
          <w:color w:val="0e101a"/>
          <w:sz w:val="24"/>
          <w:szCs w:val="24"/>
          <w:lang w:val="en-GB" w:eastAsia="en-GB"/>
        </w:rPr>
      </w:pPr>
      <w:r>
        <w:rPr>
          <w:rFonts w:ascii="Times New Roman" w:cs="Times New Roman" w:eastAsia="Times New Roman" w:hAnsi="Times New Roman"/>
          <w:color w:val="0e101a"/>
          <w:sz w:val="24"/>
          <w:szCs w:val="24"/>
          <w:lang w:val="en-GB" w:eastAsia="en-GB"/>
        </w:rPr>
        <w:t xml:space="preserve">For example, in the case of a bomb attack like this, various response requirements would be needed to help advance the response operations such as medical triage and treatment of the victims, crime scene and evidence recovery, initiating and providing evacuation services. In case the municipality where the bomb goes off does not have all the resources to make all these </w:t>
      </w:r>
      <w:r>
        <w:rPr>
          <w:rFonts w:ascii="Times New Roman" w:cs="Times New Roman" w:eastAsia="Times New Roman" w:hAnsi="Times New Roman"/>
          <w:color w:val="0e101a"/>
          <w:sz w:val="24"/>
          <w:szCs w:val="24"/>
          <w:lang w:val="en-GB" w:eastAsia="en-GB"/>
        </w:rPr>
        <w:t>operational activities possible, EMAC would be the best approach to ensure that the Mayor’s office can respond to the emergency with the effectiveness and swift response it needs. </w:t>
      </w:r>
    </w:p>
    <w:p>
      <w:pPr>
        <w:pStyle w:val="style0"/>
        <w:spacing w:after="0" w:lineRule="auto" w:line="480"/>
        <w:rPr>
          <w:rFonts w:ascii="Times New Roman" w:cs="Times New Roman" w:eastAsia="Times New Roman" w:hAnsi="Times New Roman"/>
          <w:color w:val="0e101a"/>
          <w:sz w:val="24"/>
          <w:szCs w:val="24"/>
          <w:lang w:val="en-GB" w:eastAsia="en-GB"/>
        </w:rPr>
      </w:pPr>
      <w:r>
        <w:rPr>
          <w:rFonts w:ascii="Times New Roman" w:cs="Times New Roman" w:eastAsia="Times New Roman" w:hAnsi="Times New Roman"/>
          <w:color w:val="0e101a"/>
          <w:sz w:val="24"/>
          <w:szCs w:val="24"/>
          <w:lang w:val="en-GB" w:eastAsia="en-GB"/>
        </w:rPr>
        <w:t>2. Requesting Assistance from the Federal Government </w:t>
      </w:r>
    </w:p>
    <w:p>
      <w:pPr>
        <w:pStyle w:val="style0"/>
        <w:spacing w:after="0" w:lineRule="auto" w:line="480"/>
        <w:ind w:firstLine="720"/>
        <w:rPr>
          <w:rFonts w:ascii="Times New Roman" w:cs="Times New Roman" w:eastAsia="Times New Roman" w:hAnsi="Times New Roman"/>
          <w:color w:val="0e101a"/>
          <w:sz w:val="24"/>
          <w:szCs w:val="24"/>
          <w:lang w:val="en-GB" w:eastAsia="en-GB"/>
        </w:rPr>
      </w:pPr>
      <w:r>
        <w:rPr>
          <w:rFonts w:ascii="Times New Roman" w:cs="Times New Roman" w:eastAsia="Times New Roman" w:hAnsi="Times New Roman"/>
          <w:color w:val="0e101a"/>
          <w:sz w:val="24"/>
          <w:szCs w:val="24"/>
          <w:lang w:val="en-GB" w:eastAsia="en-GB"/>
        </w:rPr>
        <w:t>There is no harm in requesting for assistance where the Mayor things that the available resources cannot help achieve the set objectives. The Mayor’s office can request Federal Assistance, especially in forensic operations, to collect information in the bomb, which would guide the response team. Then Federal agencies like the Federal Bureau of Investigation (FBI) have the capacity and enough resources, whether it is financial or manpower, to help collect the information that is needed in responding to bomb emergencies like this. Through coordination with the local agencies like the Metropolitan transit authority and the Mayor’s office, the FBI can help bring normalcy in the capital sooner than when the local authorities were left to carry out the process on their own. Furthermore, this move will help free up resources and funding from the Federal government that can help in the reestablishment and recovery process after the bomb incident. </w:t>
      </w:r>
    </w:p>
    <w:p>
      <w:pPr>
        <w:pStyle w:val="style0"/>
        <w:spacing w:after="0" w:lineRule="auto" w:line="480"/>
        <w:jc w:val="right"/>
        <w:rPr>
          <w:rFonts w:ascii="Times New Roman" w:cs="Times New Roman" w:eastAsia="Times New Roman" w:hAnsi="Times New Roman"/>
          <w:color w:val="0e101a"/>
          <w:sz w:val="24"/>
          <w:szCs w:val="24"/>
          <w:lang w:val="en-GB" w:eastAsia="en-GB"/>
        </w:rPr>
      </w:pPr>
      <w:r>
        <w:rPr>
          <w:rFonts w:ascii="Times New Roman" w:cs="Times New Roman" w:eastAsia="Times New Roman" w:hAnsi="Times New Roman"/>
          <w:color w:val="0e101a"/>
          <w:sz w:val="24"/>
          <w:szCs w:val="24"/>
          <w:lang w:val="en-GB" w:eastAsia="en-GB"/>
        </w:rPr>
        <w:t xml:space="preserve">Sandra and Tatiana Attorneys, City Attorney </w:t>
      </w:r>
    </w:p>
    <w:p>
      <w:pPr>
        <w:pStyle w:val="style0"/>
        <w:spacing w:after="0" w:lineRule="auto" w:line="480"/>
        <w:jc w:val="right"/>
        <w:rPr>
          <w:rFonts w:ascii="Times New Roman" w:cs="Times New Roman" w:eastAsia="Times New Roman" w:hAnsi="Times New Roman"/>
          <w:i/>
          <w:color w:val="0e101a"/>
          <w:sz w:val="24"/>
          <w:szCs w:val="24"/>
          <w:u w:val="single"/>
          <w:lang w:val="en-GB" w:eastAsia="en-GB"/>
        </w:rPr>
      </w:pPr>
      <w:r>
        <w:rPr>
          <w:rFonts w:ascii="Times New Roman" w:cs="Times New Roman" w:eastAsia="Times New Roman" w:hAnsi="Times New Roman"/>
          <w:color w:val="0e101a"/>
          <w:sz w:val="24"/>
          <w:szCs w:val="24"/>
          <w:lang w:val="en-GB" w:eastAsia="en-GB"/>
        </w:rPr>
        <w:t xml:space="preserve">By </w:t>
      </w:r>
      <w:r>
        <w:rPr>
          <w:rFonts w:ascii="Times New Roman" w:cs="Times New Roman" w:eastAsia="Times New Roman" w:hAnsi="Times New Roman"/>
          <w:i/>
          <w:color w:val="0e101a"/>
          <w:sz w:val="24"/>
          <w:szCs w:val="24"/>
          <w:u w:val="single"/>
          <w:lang w:val="en-GB" w:eastAsia="en-GB"/>
        </w:rPr>
        <w:t>/s/ Sandra R. Hubel</w:t>
      </w:r>
    </w:p>
    <w:p>
      <w:pPr>
        <w:pStyle w:val="style0"/>
        <w:spacing w:after="0" w:lineRule="auto" w:line="480"/>
        <w:jc w:val="right"/>
        <w:rPr>
          <w:rFonts w:ascii="Times New Roman" w:cs="Times New Roman" w:eastAsia="Times New Roman" w:hAnsi="Times New Roman"/>
          <w:color w:val="0e101a"/>
          <w:sz w:val="24"/>
          <w:szCs w:val="24"/>
          <w:lang w:val="en-GB" w:eastAsia="en-GB"/>
        </w:rPr>
      </w:pPr>
      <w:r>
        <w:rPr>
          <w:rFonts w:ascii="Times New Roman" w:cs="Times New Roman" w:eastAsia="Times New Roman" w:hAnsi="Times New Roman"/>
          <w:color w:val="0e101a"/>
          <w:sz w:val="24"/>
          <w:szCs w:val="24"/>
          <w:lang w:val="en-GB" w:eastAsia="en-GB"/>
        </w:rPr>
        <w:t>Sandra R. Hubel</w:t>
      </w:r>
    </w:p>
    <w:p>
      <w:pPr>
        <w:pStyle w:val="style0"/>
        <w:spacing w:after="0" w:lineRule="auto" w:line="480"/>
        <w:jc w:val="right"/>
        <w:rPr>
          <w:rFonts w:ascii="Times New Roman" w:cs="Times New Roman" w:eastAsia="Times New Roman" w:hAnsi="Times New Roman"/>
          <w:color w:val="0e101a"/>
          <w:sz w:val="24"/>
          <w:szCs w:val="24"/>
          <w:lang w:val="en-GB" w:eastAsia="en-GB"/>
        </w:rPr>
      </w:pPr>
      <w:r>
        <w:rPr>
          <w:rFonts w:ascii="Times New Roman" w:cs="Times New Roman" w:eastAsia="Times New Roman" w:hAnsi="Times New Roman"/>
          <w:color w:val="0e101a"/>
          <w:sz w:val="24"/>
          <w:szCs w:val="24"/>
          <w:lang w:val="en-GB" w:eastAsia="en-GB"/>
        </w:rPr>
        <w:t xml:space="preserve">Chief Deputy City Attorney </w:t>
      </w:r>
    </w:p>
    <w:p>
      <w:pPr>
        <w:pStyle w:val="style0"/>
        <w:spacing w:after="0" w:lineRule="auto" w:line="480"/>
        <w:rPr>
          <w:rFonts w:ascii="Times New Roman" w:cs="Times New Roman" w:eastAsia="Times New Roman" w:hAnsi="Times New Roman"/>
          <w:color w:val="0e101a"/>
          <w:sz w:val="24"/>
          <w:szCs w:val="24"/>
          <w:lang w:val="en-GB" w:eastAsia="en-GB"/>
        </w:rPr>
      </w:pPr>
    </w:p>
    <w:p>
      <w:pPr>
        <w:pStyle w:val="style0"/>
        <w:spacing w:after="0" w:lineRule="auto" w:line="480"/>
        <w:rPr>
          <w:rFonts w:ascii="Times New Roman" w:cs="Times New Roman" w:hAnsi="Times New Roman"/>
          <w:bCs/>
          <w:sz w:val="24"/>
          <w:szCs w:val="24"/>
        </w:rPr>
      </w:pPr>
    </w:p>
    <w:p>
      <w:pPr>
        <w:pStyle w:val="style0"/>
        <w:spacing w:after="0" w:lineRule="auto" w:line="480"/>
        <w:rPr>
          <w:rFonts w:ascii="Times New Roman" w:cs="Times New Roman" w:hAnsi="Times New Roman"/>
          <w:color w:val="222222"/>
          <w:sz w:val="24"/>
          <w:szCs w:val="24"/>
          <w:shd w:val="clear" w:color="auto" w:fill="ffffff"/>
        </w:rPr>
      </w:pPr>
    </w:p>
    <w:bookmarkStart w:id="0" w:name="_GoBack"/>
    <w:bookmarkEnd w:id="0"/>
    <w:p>
      <w:pPr>
        <w:pStyle w:val="style0"/>
        <w:spacing w:after="0" w:lineRule="auto" w:line="480"/>
        <w:rPr>
          <w:rFonts w:ascii="Times New Roman" w:cs="Times New Roman" w:hAnsi="Times New Roman"/>
          <w:color w:val="222222"/>
          <w:sz w:val="24"/>
          <w:szCs w:val="24"/>
          <w:shd w:val="clear" w:color="auto" w:fill="ffffff"/>
        </w:rPr>
      </w:pPr>
    </w:p>
    <w:p>
      <w:pPr>
        <w:pStyle w:val="style0"/>
        <w:spacing w:after="0" w:lineRule="auto" w:line="480"/>
        <w:rPr>
          <w:rFonts w:ascii="Times New Roman" w:cs="Times New Roman" w:hAnsi="Times New Roman"/>
          <w:color w:val="222222"/>
          <w:sz w:val="24"/>
          <w:szCs w:val="24"/>
          <w:shd w:val="clear" w:color="auto" w:fill="ffffff"/>
        </w:rPr>
      </w:pPr>
    </w:p>
    <w:p>
      <w:pPr>
        <w:pStyle w:val="style0"/>
        <w:spacing w:after="0" w:lineRule="auto" w:line="480"/>
        <w:ind w:left="720" w:hanging="720"/>
        <w:jc w:val="center"/>
        <w:rPr>
          <w:rFonts w:ascii="Times New Roman" w:cs="Times New Roman" w:hAnsi="Times New Roman"/>
          <w:sz w:val="24"/>
          <w:szCs w:val="24"/>
          <w:shd w:val="clear" w:color="auto" w:fill="ffffff"/>
        </w:rPr>
      </w:pPr>
      <w:r>
        <w:rPr>
          <w:rFonts w:ascii="Times New Roman" w:cs="Times New Roman" w:hAnsi="Times New Roman"/>
          <w:sz w:val="24"/>
          <w:szCs w:val="24"/>
          <w:shd w:val="clear" w:color="auto" w:fill="ffffff"/>
        </w:rPr>
        <w:t>Bibliography</w:t>
      </w:r>
    </w:p>
    <w:p>
      <w:pPr>
        <w:pStyle w:val="style0"/>
        <w:spacing w:after="0" w:lineRule="auto" w:line="480"/>
        <w:ind w:left="720" w:hanging="720"/>
        <w:rPr>
          <w:rFonts w:ascii="Times New Roman" w:cs="Times New Roman" w:hAnsi="Times New Roman"/>
          <w:bCs/>
          <w:sz w:val="24"/>
          <w:szCs w:val="24"/>
        </w:rPr>
      </w:pPr>
      <w:r>
        <w:rPr>
          <w:rFonts w:ascii="Times New Roman" w:cs="Times New Roman" w:hAnsi="Times New Roman"/>
          <w:sz w:val="24"/>
          <w:szCs w:val="24"/>
          <w:shd w:val="clear" w:color="auto" w:fill="ffffff"/>
        </w:rPr>
        <w:t>Hunter, Nan D.</w:t>
      </w:r>
      <w:r>
        <w:rPr>
          <w:rFonts w:ascii="Times New Roman" w:cs="Times New Roman" w:hAnsi="Times New Roman"/>
          <w:sz w:val="24"/>
          <w:szCs w:val="24"/>
          <w:shd w:val="clear" w:color="auto" w:fill="ffffff"/>
        </w:rPr>
        <w:t> </w:t>
      </w:r>
      <w:r>
        <w:rPr>
          <w:rFonts w:ascii="Times New Roman" w:cs="Times New Roman" w:hAnsi="Times New Roman"/>
          <w:i/>
          <w:iCs/>
          <w:sz w:val="24"/>
          <w:szCs w:val="24"/>
          <w:shd w:val="clear" w:color="auto" w:fill="ffffff"/>
        </w:rPr>
        <w:t>The Law of Emergencies: Public health and disaster management</w:t>
      </w:r>
      <w:r>
        <w:rPr>
          <w:rFonts w:ascii="Times New Roman" w:cs="Times New Roman" w:hAnsi="Times New Roman"/>
          <w:sz w:val="24"/>
          <w:szCs w:val="24"/>
          <w:shd w:val="clear" w:color="auto" w:fill="ffffff"/>
        </w:rPr>
        <w:t xml:space="preserve">. </w:t>
      </w:r>
      <w:r>
        <w:rPr>
          <w:rFonts w:ascii="Times New Roman" w:cs="Times New Roman" w:hAnsi="Times New Roman"/>
          <w:sz w:val="24"/>
          <w:szCs w:val="24"/>
          <w:shd w:val="clear" w:color="auto" w:fill="ffffff"/>
        </w:rPr>
        <w:t>Butterworth-Heinemann, 2018.</w:t>
      </w:r>
    </w:p>
    <w:p>
      <w:pPr>
        <w:pStyle w:val="style0"/>
        <w:spacing w:after="0" w:lineRule="auto" w:line="480"/>
        <w:jc w:val="center"/>
        <w:rPr>
          <w:rFonts w:ascii="Times New Roman" w:cs="Times New Roman" w:hAnsi="Times New Roman"/>
          <w:b/>
          <w:bCs/>
          <w:sz w:val="24"/>
          <w:szCs w:val="24"/>
          <w:u w:val="single"/>
        </w:rPr>
      </w:pPr>
    </w:p>
    <w:p>
      <w:pPr>
        <w:pStyle w:val="style0"/>
        <w:spacing w:after="0" w:lineRule="auto" w:line="480"/>
        <w:jc w:val="center"/>
        <w:rPr>
          <w:rFonts w:ascii="Times New Roman" w:cs="Times New Roman" w:hAnsi="Times New Roman"/>
          <w:sz w:val="24"/>
          <w:szCs w:val="24"/>
        </w:rPr>
      </w:pPr>
    </w:p>
    <w:sectPr>
      <w:headerReference w:type="default" r:id="rId2"/>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004020304"/>
    <w:charset w:val="00"/>
    <w:family w:val="roman"/>
    <w:pitch w:val="variable"/>
    <w:sig w:usb0="E0002EFF" w:usb1="C000785B" w:usb2="00000009" w:usb3="00000000" w:csb0="000001FF" w:csb1="00000000"/>
  </w:font>
  <w:font w:name="Calibri">
    <w:altName w:val="Calibri"/>
    <w:panose1 w:val="020f0502020002030204"/>
    <w:charset w:val="00"/>
    <w:family w:val="swiss"/>
    <w:pitch w:val="variable"/>
    <w:sig w:usb0="E0002AFF" w:usb1="C000247B" w:usb2="00000009" w:usb3="00000000" w:csb0="000001FF" w:csb1="00000000"/>
  </w:font>
  <w:font w:name="Arial">
    <w:altName w:val="Arial"/>
    <w:panose1 w:val="020b0604020002020204"/>
    <w:charset w:val="00"/>
    <w:family w:val="swiss"/>
    <w:pitch w:val="variable"/>
    <w:sig w:usb0="E0002EFF" w:usb1="C000785B" w:usb2="00000009" w:usb3="00000000" w:csb0="000001FF" w:csb1="00000000"/>
  </w:font>
  <w:font w:name="Calibri Light">
    <w:altName w:val="Calibri Light"/>
    <w:panose1 w:val="020f0302020002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footnote w:id="1">
    <w:p>
      <w:pPr>
        <w:pStyle w:val="style0"/>
        <w:rPr>
          <w:bCs/>
          <w:sz w:val="24"/>
          <w:szCs w:val="24"/>
        </w:rPr>
      </w:pPr>
      <w:r>
        <w:rPr>
          <w:rStyle w:val="style38"/>
        </w:rPr>
        <w:footnoteRef/>
      </w:r>
      <w:r>
        <w:t xml:space="preserve"> </w:t>
      </w:r>
      <w:r>
        <w:rPr>
          <w:rFonts w:ascii="Arial" w:cs="Arial" w:hAnsi="Arial"/>
          <w:color w:val="222222"/>
          <w:sz w:val="20"/>
          <w:szCs w:val="20"/>
          <w:shd w:val="clear" w:color="auto" w:fill="ffffff"/>
        </w:rPr>
        <w:t>Hunter, Nan D.</w:t>
      </w:r>
      <w:r>
        <w:rPr>
          <w:rFonts w:ascii="Arial" w:cs="Arial" w:hAnsi="Arial"/>
          <w:color w:val="222222"/>
          <w:sz w:val="20"/>
          <w:szCs w:val="20"/>
          <w:shd w:val="clear" w:color="auto" w:fill="ffffff"/>
        </w:rPr>
        <w:t> </w:t>
      </w:r>
      <w:r>
        <w:rPr>
          <w:rFonts w:ascii="Arial" w:cs="Arial" w:hAnsi="Arial"/>
          <w:i/>
          <w:iCs/>
          <w:color w:val="222222"/>
          <w:sz w:val="20"/>
          <w:szCs w:val="20"/>
          <w:shd w:val="clear" w:color="auto" w:fill="ffffff"/>
        </w:rPr>
        <w:t>The Law of Emergencies: Public health and disaster management</w:t>
      </w:r>
      <w:r>
        <w:rPr>
          <w:rFonts w:ascii="Arial" w:cs="Arial" w:hAnsi="Arial"/>
          <w:color w:val="222222"/>
          <w:sz w:val="20"/>
          <w:szCs w:val="20"/>
          <w:shd w:val="clear" w:color="auto" w:fill="ffffff"/>
        </w:rPr>
        <w:t>. Butterworth-Heinemann, 2018: 321.</w:t>
      </w:r>
    </w:p>
  </w:footnote>
  <w:footnote w:id="2">
    <w:p>
      <w:pPr>
        <w:pStyle w:val="style29"/>
        <w:rPr/>
      </w:pPr>
      <w:r>
        <w:rPr>
          <w:rStyle w:val="style38"/>
        </w:rPr>
        <w:footnoteRef/>
      </w:r>
      <w:r>
        <w:t xml:space="preserve"> </w:t>
      </w:r>
      <w:r>
        <w:t>Ibid.,</w:t>
      </w:r>
      <w:r>
        <w:t xml:space="preserve"> p. 321. </w:t>
      </w:r>
    </w:p>
  </w:footnote>
</w:footnote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rPr>
        <w:rFonts w:ascii="Times New Roman" w:cs="Times New Roman" w:hAnsi="Times New Roman"/>
        <w:sz w:val="24"/>
        <w:szCs w:val="24"/>
      </w:rPr>
    </w:pPr>
    <w:r>
      <w:rPr>
        <w:rFonts w:ascii="Times New Roman" w:cs="Times New Roman" w:hAnsi="Times New Roman"/>
        <w:sz w:val="24"/>
        <w:szCs w:val="24"/>
      </w:rPr>
      <w:t>Honorable Mayor and City Council</w:t>
    </w:r>
    <w:r>
      <w:rPr>
        <w:rFonts w:ascii="Times New Roman" w:cs="Times New Roman" w:hAnsi="Times New Roman"/>
        <w:sz w:val="24"/>
        <w:szCs w:val="24"/>
      </w:rPr>
      <w:tab/>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1</w:t>
    </w:r>
    <w:r>
      <w:rPr>
        <w:rFonts w:ascii="Times New Roman" w:cs="Times New Roman" w:hAnsi="Times New Roman"/>
        <w:noProof/>
        <w:sz w:val="24"/>
        <w:szCs w:val="24"/>
      </w:rPr>
      <w:fldChar w:fldCharType="end"/>
    </w:r>
    <w:r>
      <w:rPr>
        <w:rFonts w:ascii="Times New Roman" w:cs="Times New Roman" w:hAnsi="Times New Roman"/>
        <w:noProof/>
        <w:sz w:val="24"/>
        <w:szCs w:val="24"/>
      </w:rPr>
      <w:tab/>
    </w:r>
    <w:r>
      <w:rPr>
        <w:rFonts w:ascii="Times New Roman" w:cs="Times New Roman" w:hAnsi="Times New Roman"/>
        <w:noProof/>
        <w:sz w:val="24"/>
        <w:szCs w:val="24"/>
      </w:rPr>
      <w:t>April 19, 2020</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multilevel"/>
    <w:tmpl w:val="71183F6A"/>
    <w:lvl w:ilvl="0">
      <w:start w:val="1"/>
      <w:numFmt w:val="decimal"/>
      <w:lvlText w:val="%1."/>
      <w:lvlJc w:val="left"/>
      <w:pPr>
        <w:tabs>
          <w:tab w:val="left" w:leader="none" w:pos="720"/>
        </w:tabs>
        <w:ind w:left="720" w:hanging="360"/>
      </w:pPr>
    </w:lvl>
    <w:lvl w:ilvl="1" w:tentative="1">
      <w:start w:val="1"/>
      <w:numFmt w:val="decimal"/>
      <w:lvlText w:val="%2."/>
      <w:lvlJc w:val="left"/>
      <w:pPr>
        <w:tabs>
          <w:tab w:val="left" w:leader="none" w:pos="1440"/>
        </w:tabs>
        <w:ind w:left="1440" w:hanging="360"/>
      </w:pPr>
    </w:lvl>
    <w:lvl w:ilvl="2" w:tentative="1">
      <w:start w:val="1"/>
      <w:numFmt w:val="decimal"/>
      <w:lvlText w:val="%3."/>
      <w:lvlJc w:val="left"/>
      <w:pPr>
        <w:tabs>
          <w:tab w:val="left" w:leader="none" w:pos="2160"/>
        </w:tabs>
        <w:ind w:left="2160" w:hanging="360"/>
      </w:pPr>
    </w:lvl>
    <w:lvl w:ilvl="3" w:tentative="1">
      <w:start w:val="1"/>
      <w:numFmt w:val="decimal"/>
      <w:lvlText w:val="%4."/>
      <w:lvlJc w:val="left"/>
      <w:pPr>
        <w:tabs>
          <w:tab w:val="left" w:leader="none" w:pos="2880"/>
        </w:tabs>
        <w:ind w:left="2880" w:hanging="360"/>
      </w:pPr>
    </w:lvl>
    <w:lvl w:ilvl="4" w:tentative="1">
      <w:start w:val="1"/>
      <w:numFmt w:val="decimal"/>
      <w:lvlText w:val="%5."/>
      <w:lvlJc w:val="left"/>
      <w:pPr>
        <w:tabs>
          <w:tab w:val="left" w:leader="none" w:pos="3600"/>
        </w:tabs>
        <w:ind w:left="3600" w:hanging="360"/>
      </w:pPr>
    </w:lvl>
    <w:lvl w:ilvl="5" w:tentative="1">
      <w:start w:val="1"/>
      <w:numFmt w:val="decimal"/>
      <w:lvlText w:val="%6."/>
      <w:lvlJc w:val="left"/>
      <w:pPr>
        <w:tabs>
          <w:tab w:val="left" w:leader="none" w:pos="4320"/>
        </w:tabs>
        <w:ind w:left="4320" w:hanging="360"/>
      </w:pPr>
    </w:lvl>
    <w:lvl w:ilvl="6" w:tentative="1">
      <w:start w:val="1"/>
      <w:numFmt w:val="decimal"/>
      <w:lvlText w:val="%7."/>
      <w:lvlJc w:val="left"/>
      <w:pPr>
        <w:tabs>
          <w:tab w:val="left" w:leader="none" w:pos="5040"/>
        </w:tabs>
        <w:ind w:left="5040" w:hanging="360"/>
      </w:pPr>
    </w:lvl>
    <w:lvl w:ilvl="7" w:tentative="1">
      <w:start w:val="1"/>
      <w:numFmt w:val="decimal"/>
      <w:lvlText w:val="%8."/>
      <w:lvlJc w:val="left"/>
      <w:pPr>
        <w:tabs>
          <w:tab w:val="left" w:leader="none" w:pos="5760"/>
        </w:tabs>
        <w:ind w:left="5760" w:hanging="360"/>
      </w:pPr>
    </w:lvl>
    <w:lvl w:ilvl="8" w:tentative="1">
      <w:start w:val="1"/>
      <w:numFmt w:val="decimal"/>
      <w:lvlText w:val="%9."/>
      <w:lvlJc w:val="left"/>
      <w:pPr>
        <w:tabs>
          <w:tab w:val="left" w:leader="none" w:pos="6480"/>
        </w:tabs>
        <w:ind w:left="6480" w:hanging="360"/>
      </w:pPr>
    </w:lvl>
  </w:abstractNum>
  <w:abstractNum w:abstractNumId="1">
    <w:nsid w:val="00000001"/>
    <w:multiLevelType w:val="hybridMultilevel"/>
    <w:tmpl w:val="E658484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00000002"/>
    <w:multiLevelType w:val="hybridMultilevel"/>
    <w:tmpl w:val="E8DCC6D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160" w:lineRule="auto" w:line="259"/>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179">
    <w:name w:val="List Paragraph"/>
    <w:basedOn w:val="style0"/>
    <w:next w:val="style179"/>
    <w:qFormat/>
    <w:uiPriority w:val="34"/>
    <w:pPr>
      <w:ind w:left="720"/>
      <w:contextualSpacing/>
    </w:pPr>
    <w:rPr/>
  </w:style>
  <w:style w:type="paragraph" w:styleId="style94">
    <w:name w:val="Normal (Web)"/>
    <w:basedOn w:val="style0"/>
    <w:next w:val="style94"/>
    <w:uiPriority w:val="99"/>
    <w:pPr>
      <w:spacing w:before="100" w:beforeAutospacing="true" w:after="100" w:afterAutospacing="true" w:lineRule="auto" w:line="240"/>
    </w:pPr>
    <w:rPr>
      <w:rFonts w:ascii="Times New Roman" w:cs="Times New Roman" w:eastAsia="Times New Roman" w:hAnsi="Times New Roman"/>
      <w:sz w:val="24"/>
      <w:szCs w:val="24"/>
      <w:lang w:val="en-GB" w:eastAsia="en-GB"/>
    </w:rPr>
  </w:style>
  <w:style w:type="character" w:styleId="style87">
    <w:name w:val="Strong"/>
    <w:basedOn w:val="style65"/>
    <w:next w:val="style87"/>
    <w:qFormat/>
    <w:uiPriority w:val="22"/>
    <w:rPr>
      <w:b/>
      <w:bCs/>
    </w:rPr>
  </w:style>
  <w:style w:type="paragraph" w:styleId="style29">
    <w:name w:val="footnote text"/>
    <w:basedOn w:val="style0"/>
    <w:next w:val="style29"/>
    <w:link w:val="style4097"/>
    <w:uiPriority w:val="99"/>
    <w:pPr>
      <w:spacing w:after="0" w:lineRule="auto" w:line="240"/>
    </w:pPr>
    <w:rPr>
      <w:sz w:val="20"/>
      <w:szCs w:val="20"/>
    </w:rPr>
  </w:style>
  <w:style w:type="character" w:customStyle="1" w:styleId="style4097">
    <w:name w:val="Footnote Text Char"/>
    <w:basedOn w:val="style65"/>
    <w:next w:val="style4097"/>
    <w:link w:val="style29"/>
    <w:uiPriority w:val="99"/>
    <w:rPr>
      <w:sz w:val="20"/>
      <w:szCs w:val="20"/>
    </w:rPr>
  </w:style>
  <w:style w:type="character" w:styleId="style38">
    <w:name w:val="footnote reference"/>
    <w:basedOn w:val="style65"/>
    <w:next w:val="style38"/>
    <w:uiPriority w:val="99"/>
    <w:rPr>
      <w:vertAlign w:val="superscript"/>
    </w:rPr>
  </w:style>
  <w:style w:type="paragraph" w:styleId="style31">
    <w:name w:val="header"/>
    <w:basedOn w:val="style0"/>
    <w:next w:val="style31"/>
    <w:link w:val="style4098"/>
    <w:uiPriority w:val="99"/>
    <w:pPr>
      <w:tabs>
        <w:tab w:val="center" w:leader="none" w:pos="4680"/>
        <w:tab w:val="right" w:leader="none" w:pos="9360"/>
      </w:tabs>
      <w:spacing w:after="0" w:lineRule="auto" w:line="240"/>
    </w:pPr>
    <w:rPr/>
  </w:style>
  <w:style w:type="character" w:customStyle="1" w:styleId="style4098">
    <w:name w:val="Header Char_0cf3a462-d79f-4e5b-929f-5a4c326a3cf3"/>
    <w:basedOn w:val="style65"/>
    <w:next w:val="style4098"/>
    <w:link w:val="style31"/>
    <w:uiPriority w:val="99"/>
  </w:style>
  <w:style w:type="paragraph" w:styleId="style32">
    <w:name w:val="footer"/>
    <w:basedOn w:val="style0"/>
    <w:next w:val="style32"/>
    <w:link w:val="style4099"/>
    <w:uiPriority w:val="99"/>
    <w:pPr>
      <w:tabs>
        <w:tab w:val="center" w:leader="none" w:pos="4680"/>
        <w:tab w:val="right" w:leader="none" w:pos="9360"/>
      </w:tabs>
      <w:spacing w:after="0" w:lineRule="auto" w:line="240"/>
    </w:pPr>
    <w:rPr/>
  </w:style>
  <w:style w:type="character" w:customStyle="1" w:styleId="style4099">
    <w:name w:val="Footer Char_eb772773-02d3-478f-ad5d-0f2dbfd393a8"/>
    <w:basedOn w:val="style65"/>
    <w:next w:val="style4099"/>
    <w:link w:val="style32"/>
    <w:uiPriority w:val="99"/>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footnotes" Target="footnotes.xml"/><Relationship Id="rId4" Type="http://schemas.openxmlformats.org/officeDocument/2006/relationships/styles" Target="styles.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 Id="rId8"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AA07F41-27A2-47D5-8BDE-09179C2D77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Words>2063</Words>
  <Pages>1</Pages>
  <Characters>10575</Characters>
  <Application>WPS Office</Application>
  <DocSecurity>0</DocSecurity>
  <Paragraphs>54</Paragraphs>
  <ScaleCrop>false</ScaleCrop>
  <LinksUpToDate>false</LinksUpToDate>
  <CharactersWithSpaces>12619</CharactersWithSpaces>
  <SharedDoc>false</SharedDoc>
  <HyperlinksChanged>false</HyperlinksChanged>
  <AppVersion>14.000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2020-04-24T13:54:03Z</dcterms:created>
  <dc:creator>Allison Newton</dc:creator>
  <lastModifiedBy>STK-L21</lastModifiedBy>
  <dcterms:modified xsi:type="dcterms:W3CDTF">2020-04-24T13:54:03Z</dcterms:modified>
  <revision>4</revision>
</coreProperties>
</file>

<file path=docProps/custom.xml><?xml version="1.0" encoding="utf-8"?>
<Properties xmlns="http://schemas.openxmlformats.org/officeDocument/2006/custom-properties" xmlns:vt="http://schemas.openxmlformats.org/officeDocument/2006/docPropsVTypes"/>
</file>